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8D" w:rsidRDefault="0093198D" w:rsidP="0093198D">
      <w:pPr>
        <w:rPr>
          <w:rFonts w:asciiTheme="minorHAnsi" w:hAnsiTheme="minorHAnsi" w:cstheme="minorHAnsi"/>
          <w:b/>
          <w:sz w:val="32"/>
        </w:rPr>
      </w:pPr>
      <w:r>
        <w:rPr>
          <w:rFonts w:asciiTheme="minorHAnsi" w:hAnsiTheme="minorHAnsi" w:cstheme="minorHAnsi"/>
          <w:b/>
          <w:sz w:val="32"/>
        </w:rPr>
        <w:t>6</w:t>
      </w:r>
      <w:r w:rsidRPr="00315452">
        <w:rPr>
          <w:rFonts w:asciiTheme="minorHAnsi" w:hAnsiTheme="minorHAnsi" w:cstheme="minorHAnsi"/>
          <w:b/>
          <w:sz w:val="32"/>
        </w:rPr>
        <w:t xml:space="preserve">.- </w:t>
      </w:r>
      <w:r w:rsidRPr="0093198D">
        <w:rPr>
          <w:rFonts w:asciiTheme="minorHAnsi" w:hAnsiTheme="minorHAnsi" w:cstheme="minorHAnsi"/>
          <w:b/>
          <w:sz w:val="32"/>
          <w:lang w:val="es-MX"/>
        </w:rPr>
        <w:t>APROBACIÓN DE DESINCORPORACIÓN DE BIENES</w:t>
      </w:r>
      <w:r w:rsidRPr="0093198D">
        <w:rPr>
          <w:rFonts w:asciiTheme="minorHAnsi" w:hAnsiTheme="minorHAnsi" w:cstheme="minorHAnsi"/>
          <w:b/>
          <w:sz w:val="32"/>
        </w:rPr>
        <w:t xml:space="preserve"> </w:t>
      </w:r>
    </w:p>
    <w:p w:rsidR="0093198D" w:rsidRDefault="0093198D" w:rsidP="0093198D">
      <w:pPr>
        <w:tabs>
          <w:tab w:val="num" w:pos="1068"/>
          <w:tab w:val="num" w:pos="1788"/>
          <w:tab w:val="num" w:pos="2484"/>
          <w:tab w:val="num" w:pos="3228"/>
        </w:tabs>
        <w:spacing w:after="200" w:line="276" w:lineRule="auto"/>
        <w:contextualSpacing/>
        <w:jc w:val="both"/>
        <w:rPr>
          <w:rFonts w:ascii="Calibri" w:eastAsia="Calibri" w:hAnsi="Calibri" w:cs="Calibri"/>
          <w:lang w:val="es-MX"/>
        </w:rPr>
      </w:pPr>
    </w:p>
    <w:p w:rsidR="00865DCA" w:rsidRPr="00865DCA" w:rsidRDefault="0093198D" w:rsidP="00865DCA">
      <w:pPr>
        <w:tabs>
          <w:tab w:val="num" w:pos="1068"/>
          <w:tab w:val="num" w:pos="1788"/>
          <w:tab w:val="num" w:pos="2484"/>
          <w:tab w:val="num" w:pos="3228"/>
        </w:tabs>
        <w:spacing w:after="200" w:line="276" w:lineRule="auto"/>
        <w:contextualSpacing/>
        <w:jc w:val="both"/>
        <w:rPr>
          <w:rFonts w:ascii="Calibri" w:eastAsia="Calibri" w:hAnsi="Calibri" w:cs="Calibri"/>
          <w:lang w:val="es-MX"/>
        </w:rPr>
      </w:pPr>
      <w:r w:rsidRPr="0093198D">
        <w:rPr>
          <w:rFonts w:ascii="Calibri" w:eastAsia="Calibri" w:hAnsi="Calibri" w:cs="Calibri"/>
          <w:b/>
          <w:lang w:val="es-MX"/>
        </w:rPr>
        <w:t xml:space="preserve">a). Baja de bienes muebles del IIEG por donación; </w:t>
      </w:r>
      <w:r w:rsidR="00865DCA" w:rsidRPr="00865DCA">
        <w:rPr>
          <w:rFonts w:ascii="Calibri" w:eastAsia="Calibri" w:hAnsi="Calibri" w:cs="Calibri"/>
          <w:lang w:val="es-MX"/>
        </w:rPr>
        <w:t>Ante la saturación de los espacios de la Subsecretaría de Administración para recibir los bienes muebles sin utilidad para el IIEG, y ante la necesidad urgente de entregar los espacios físicos que tenían SEIJAL y COEPO, se han realizado entregas que permitieron un beneficio de diversas instituciones gubernamentales y resolvieron problemas de almacenamiento. Este proceso se realizó con el conocimiento y aprobación de la Dirección General de Logística y la Dirección General de Vinculación Administrativa de la Subsecretaría de Administración. En próxima sesión se informará con detalle el resultado de este proyecto para regularizarlo y presentarlo para su aprobación final.</w:t>
      </w:r>
    </w:p>
    <w:p w:rsidR="0093198D" w:rsidRPr="00865DCA" w:rsidRDefault="0093198D" w:rsidP="0093198D">
      <w:pPr>
        <w:tabs>
          <w:tab w:val="num" w:pos="1068"/>
          <w:tab w:val="num" w:pos="1788"/>
          <w:tab w:val="num" w:pos="2484"/>
          <w:tab w:val="num" w:pos="3228"/>
        </w:tabs>
        <w:spacing w:after="200" w:line="276" w:lineRule="auto"/>
        <w:contextualSpacing/>
        <w:jc w:val="both"/>
        <w:rPr>
          <w:rFonts w:ascii="Calibri" w:eastAsia="Calibri" w:hAnsi="Calibri" w:cs="Calibri"/>
          <w:b/>
          <w:lang w:val="es-MX"/>
        </w:rPr>
      </w:pPr>
    </w:p>
    <w:p w:rsidR="00865DCA" w:rsidRPr="00865DCA" w:rsidRDefault="0093198D" w:rsidP="00865DCA">
      <w:pPr>
        <w:tabs>
          <w:tab w:val="num" w:pos="1068"/>
          <w:tab w:val="num" w:pos="1788"/>
          <w:tab w:val="num" w:pos="2484"/>
          <w:tab w:val="num" w:pos="3228"/>
        </w:tabs>
        <w:spacing w:after="200" w:line="276" w:lineRule="auto"/>
        <w:jc w:val="both"/>
        <w:rPr>
          <w:rFonts w:ascii="Calibri" w:eastAsia="Calibri" w:hAnsi="Calibri" w:cs="Calibri"/>
          <w:lang w:val="es-MX"/>
        </w:rPr>
      </w:pPr>
      <w:r w:rsidRPr="0093198D">
        <w:rPr>
          <w:rFonts w:ascii="Calibri" w:eastAsia="Calibri" w:hAnsi="Calibri" w:cs="Calibri"/>
          <w:b/>
          <w:lang w:val="es-MX"/>
        </w:rPr>
        <w:t xml:space="preserve">b). Baja de inventario contable del inmueble IITEJ por demolición; </w:t>
      </w:r>
      <w:r w:rsidR="00865DCA" w:rsidRPr="00865DCA">
        <w:rPr>
          <w:rFonts w:ascii="Calibri" w:eastAsia="Calibri" w:hAnsi="Calibri" w:cs="Calibri"/>
          <w:lang w:val="es-MX"/>
        </w:rPr>
        <w:t xml:space="preserve">Ante la necesidad de demoler la construcción antigua e inoperante del IITEJ para el IIEG, terreno </w:t>
      </w:r>
      <w:bookmarkStart w:id="0" w:name="_GoBack"/>
      <w:bookmarkEnd w:id="0"/>
      <w:r w:rsidR="00865DCA" w:rsidRPr="00865DCA">
        <w:rPr>
          <w:rFonts w:ascii="Calibri" w:eastAsia="Calibri" w:hAnsi="Calibri" w:cs="Calibri"/>
          <w:lang w:val="es-MX"/>
        </w:rPr>
        <w:t>en el cual se realizó la construcción de sus nuevas instalaciones, se les informa que conforme a los permisos de demolición de la misma, terminó la vida útil de dicha construcción, solicitándoles su autorización para la baja del mismo. Cabe señalar que la compra de este inmueble se realizó por el valor del terreno y lo registrado contablemente fue el importe de la remodelación para que el Instituto de Información Territorial pudiera ocupar dicha construcción.</w:t>
      </w:r>
    </w:p>
    <w:p w:rsidR="00865DCA" w:rsidRPr="00865DCA" w:rsidRDefault="00865DCA" w:rsidP="00865DCA">
      <w:pPr>
        <w:tabs>
          <w:tab w:val="num" w:pos="1068"/>
          <w:tab w:val="num" w:pos="1788"/>
          <w:tab w:val="num" w:pos="2484"/>
          <w:tab w:val="num" w:pos="3228"/>
        </w:tabs>
        <w:spacing w:after="200" w:line="276" w:lineRule="auto"/>
        <w:jc w:val="both"/>
        <w:rPr>
          <w:rFonts w:ascii="Calibri" w:eastAsia="Calibri" w:hAnsi="Calibri" w:cs="Calibri"/>
          <w:lang w:val="es-MX"/>
        </w:rPr>
      </w:pPr>
      <w:r w:rsidRPr="00865DCA">
        <w:rPr>
          <w:rFonts w:ascii="Calibri" w:eastAsia="Calibri" w:hAnsi="Calibri" w:cs="Calibri"/>
          <w:lang w:val="es-MX"/>
        </w:rPr>
        <w:t>Una vez recibido oficialmente el nuevo inmueble, se les solicitará su autorización para el alta contable del mismo.</w:t>
      </w:r>
    </w:p>
    <w:p w:rsidR="0093198D" w:rsidRPr="0093198D" w:rsidRDefault="0093198D" w:rsidP="0093198D">
      <w:pPr>
        <w:tabs>
          <w:tab w:val="num" w:pos="1068"/>
          <w:tab w:val="num" w:pos="1788"/>
          <w:tab w:val="num" w:pos="2484"/>
          <w:tab w:val="num" w:pos="3228"/>
        </w:tabs>
        <w:spacing w:after="200" w:line="276" w:lineRule="auto"/>
        <w:jc w:val="both"/>
        <w:rPr>
          <w:rFonts w:ascii="Calibri" w:eastAsia="Calibri" w:hAnsi="Calibri" w:cs="Calibri"/>
          <w:lang w:val="es-MX"/>
        </w:rPr>
      </w:pPr>
    </w:p>
    <w:p w:rsidR="0093198D" w:rsidRPr="0093198D" w:rsidRDefault="0093198D" w:rsidP="0093198D">
      <w:pPr>
        <w:rPr>
          <w:rFonts w:asciiTheme="minorHAnsi" w:hAnsiTheme="minorHAnsi" w:cstheme="minorHAnsi"/>
          <w:b/>
          <w:sz w:val="32"/>
          <w:lang w:val="es-MX"/>
        </w:rPr>
      </w:pPr>
    </w:p>
    <w:p w:rsidR="0093198D" w:rsidRDefault="0093198D" w:rsidP="0093198D">
      <w:pPr>
        <w:jc w:val="center"/>
        <w:rPr>
          <w:rFonts w:ascii="Arial" w:hAnsi="Arial" w:cs="Arial"/>
          <w:sz w:val="22"/>
          <w:szCs w:val="22"/>
        </w:rPr>
      </w:pPr>
    </w:p>
    <w:p w:rsidR="0093198D" w:rsidRDefault="0093198D" w:rsidP="0093198D">
      <w:pPr>
        <w:shd w:val="clear" w:color="auto" w:fill="FFFFFF"/>
        <w:jc w:val="both"/>
        <w:rPr>
          <w:rFonts w:ascii="Arial" w:eastAsia="Times New Roman" w:hAnsi="Arial" w:cs="Arial"/>
          <w:b/>
          <w:color w:val="222222"/>
          <w:sz w:val="22"/>
          <w:szCs w:val="22"/>
          <w:lang w:eastAsia="es-MX"/>
        </w:rPr>
      </w:pPr>
    </w:p>
    <w:p w:rsidR="0093198D" w:rsidRPr="00315452" w:rsidRDefault="0093198D" w:rsidP="0093198D">
      <w:pPr>
        <w:shd w:val="clear" w:color="auto" w:fill="FFFFFF"/>
        <w:jc w:val="both"/>
        <w:rPr>
          <w:rFonts w:ascii="Arial" w:eastAsia="Times New Roman" w:hAnsi="Arial" w:cs="Arial"/>
          <w:b/>
          <w:color w:val="222222"/>
          <w:sz w:val="22"/>
          <w:szCs w:val="22"/>
          <w:lang w:val="es-MX" w:eastAsia="es-MX"/>
        </w:rPr>
      </w:pPr>
    </w:p>
    <w:p w:rsidR="0093198D" w:rsidRDefault="0093198D" w:rsidP="0093198D">
      <w:pPr>
        <w:shd w:val="clear" w:color="auto" w:fill="FFFFFF"/>
        <w:ind w:left="720" w:hanging="720"/>
        <w:jc w:val="both"/>
        <w:rPr>
          <w:rFonts w:ascii="Arial" w:eastAsia="Times New Roman" w:hAnsi="Arial" w:cs="Arial"/>
          <w:b/>
          <w:color w:val="222222"/>
          <w:sz w:val="22"/>
          <w:szCs w:val="22"/>
          <w:lang w:eastAsia="es-MX"/>
        </w:rPr>
      </w:pPr>
    </w:p>
    <w:p w:rsidR="0093198D" w:rsidRDefault="0093198D" w:rsidP="0093198D">
      <w:pPr>
        <w:shd w:val="clear" w:color="auto" w:fill="FFFFFF"/>
        <w:ind w:left="720" w:hanging="720"/>
        <w:jc w:val="both"/>
        <w:rPr>
          <w:rFonts w:ascii="Arial" w:eastAsia="Times New Roman" w:hAnsi="Arial" w:cs="Arial"/>
          <w:b/>
          <w:color w:val="222222"/>
          <w:sz w:val="22"/>
          <w:szCs w:val="22"/>
          <w:lang w:eastAsia="es-MX"/>
        </w:rPr>
      </w:pPr>
    </w:p>
    <w:p w:rsidR="0093198D" w:rsidRDefault="0093198D" w:rsidP="0093198D">
      <w:pPr>
        <w:shd w:val="clear" w:color="auto" w:fill="FFFFFF"/>
        <w:ind w:left="720" w:hanging="720"/>
        <w:jc w:val="both"/>
        <w:rPr>
          <w:rFonts w:ascii="Arial" w:eastAsia="Times New Roman" w:hAnsi="Arial" w:cs="Arial"/>
          <w:b/>
          <w:color w:val="222222"/>
          <w:sz w:val="22"/>
          <w:szCs w:val="22"/>
          <w:lang w:eastAsia="es-MX"/>
        </w:rPr>
      </w:pPr>
    </w:p>
    <w:p w:rsidR="0093198D" w:rsidRDefault="0093198D" w:rsidP="0093198D">
      <w:pPr>
        <w:shd w:val="clear" w:color="auto" w:fill="FFFFFF"/>
        <w:ind w:left="720" w:hanging="720"/>
        <w:jc w:val="both"/>
        <w:rPr>
          <w:rFonts w:ascii="Arial" w:eastAsia="Times New Roman" w:hAnsi="Arial" w:cs="Arial"/>
          <w:b/>
          <w:color w:val="222222"/>
          <w:sz w:val="22"/>
          <w:szCs w:val="22"/>
          <w:lang w:eastAsia="es-MX"/>
        </w:rPr>
      </w:pPr>
    </w:p>
    <w:p w:rsidR="0093198D" w:rsidRDefault="0093198D" w:rsidP="0093198D">
      <w:pPr>
        <w:shd w:val="clear" w:color="auto" w:fill="FFFFFF"/>
        <w:ind w:left="720" w:hanging="720"/>
        <w:jc w:val="both"/>
        <w:rPr>
          <w:rFonts w:ascii="Arial" w:eastAsia="Times New Roman" w:hAnsi="Arial" w:cs="Arial"/>
          <w:b/>
          <w:color w:val="222222"/>
          <w:sz w:val="22"/>
          <w:szCs w:val="22"/>
          <w:lang w:eastAsia="es-MX"/>
        </w:rPr>
      </w:pPr>
    </w:p>
    <w:p w:rsidR="002C3879" w:rsidRDefault="002C3879"/>
    <w:sectPr w:rsidR="002C3879" w:rsidSect="00B24807">
      <w:headerReference w:type="even" r:id="rId6"/>
      <w:headerReference w:type="default" r:id="rId7"/>
      <w:footerReference w:type="even" r:id="rId8"/>
      <w:footerReference w:type="default" r:id="rId9"/>
      <w:headerReference w:type="first" r:id="rId10"/>
      <w:footerReference w:type="first" r:id="rId11"/>
      <w:pgSz w:w="12240" w:h="15840"/>
      <w:pgMar w:top="2325" w:right="96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5DCA">
      <w:r>
        <w:separator/>
      </w:r>
    </w:p>
  </w:endnote>
  <w:endnote w:type="continuationSeparator" w:id="0">
    <w:p w:rsidR="00000000" w:rsidRDefault="0086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9E" w:rsidRDefault="00865D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9E" w:rsidRDefault="00865DC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9E" w:rsidRDefault="00865D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5DCA">
      <w:r>
        <w:separator/>
      </w:r>
    </w:p>
  </w:footnote>
  <w:footnote w:type="continuationSeparator" w:id="0">
    <w:p w:rsidR="00000000" w:rsidRDefault="00865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9E" w:rsidRDefault="00865D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D1" w:rsidRDefault="0093198D">
    <w:pPr>
      <w:pStyle w:val="Encabezado"/>
    </w:pPr>
    <w:r>
      <w:rPr>
        <w:noProof/>
        <w:lang w:val="es-MX" w:eastAsia="es-MX"/>
      </w:rPr>
      <w:drawing>
        <wp:anchor distT="0" distB="0" distL="114300" distR="114300" simplePos="0" relativeHeight="251659264" behindDoc="1" locked="0" layoutInCell="1" allowOverlap="1">
          <wp:simplePos x="0" y="0"/>
          <wp:positionH relativeFrom="column">
            <wp:align>center</wp:align>
          </wp:positionH>
          <wp:positionV relativeFrom="page">
            <wp:align>top</wp:align>
          </wp:positionV>
          <wp:extent cx="7771765" cy="100577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10057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9E" w:rsidRDefault="00865D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8D"/>
    <w:rsid w:val="002C3879"/>
    <w:rsid w:val="00865DCA"/>
    <w:rsid w:val="00931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92354C8-C5CE-418E-86F8-89A67C35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8D"/>
    <w:pPr>
      <w:spacing w:after="0" w:line="240" w:lineRule="auto"/>
    </w:pPr>
    <w:rPr>
      <w:rFonts w:ascii="Cambria" w:eastAsia="MS Mincho"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98D"/>
    <w:pPr>
      <w:tabs>
        <w:tab w:val="center" w:pos="4320"/>
        <w:tab w:val="right" w:pos="8640"/>
      </w:tabs>
    </w:pPr>
  </w:style>
  <w:style w:type="character" w:customStyle="1" w:styleId="EncabezadoCar">
    <w:name w:val="Encabezado Car"/>
    <w:basedOn w:val="Fuentedeprrafopredeter"/>
    <w:link w:val="Encabezado"/>
    <w:uiPriority w:val="99"/>
    <w:rsid w:val="0093198D"/>
    <w:rPr>
      <w:rFonts w:ascii="Cambria" w:eastAsia="MS Mincho" w:hAnsi="Cambria" w:cs="Times New Roman"/>
      <w:sz w:val="24"/>
      <w:szCs w:val="24"/>
      <w:lang w:val="es-ES_tradnl"/>
    </w:rPr>
  </w:style>
  <w:style w:type="paragraph" w:styleId="Piedepgina">
    <w:name w:val="footer"/>
    <w:basedOn w:val="Normal"/>
    <w:link w:val="PiedepginaCar"/>
    <w:uiPriority w:val="99"/>
    <w:unhideWhenUsed/>
    <w:rsid w:val="0093198D"/>
    <w:pPr>
      <w:tabs>
        <w:tab w:val="center" w:pos="4320"/>
        <w:tab w:val="right" w:pos="8640"/>
      </w:tabs>
    </w:pPr>
  </w:style>
  <w:style w:type="character" w:customStyle="1" w:styleId="PiedepginaCar">
    <w:name w:val="Pie de página Car"/>
    <w:basedOn w:val="Fuentedeprrafopredeter"/>
    <w:link w:val="Piedepgina"/>
    <w:uiPriority w:val="99"/>
    <w:rsid w:val="0093198D"/>
    <w:rPr>
      <w:rFonts w:ascii="Cambria" w:eastAsia="MS Mincho" w:hAnsi="Cambria" w:cs="Times New Roman"/>
      <w:sz w:val="24"/>
      <w:szCs w:val="24"/>
      <w:lang w:val="es-ES_tradnl"/>
    </w:rPr>
  </w:style>
  <w:style w:type="paragraph" w:styleId="NormalWeb">
    <w:name w:val="Normal (Web)"/>
    <w:basedOn w:val="Normal"/>
    <w:uiPriority w:val="99"/>
    <w:semiHidden/>
    <w:unhideWhenUsed/>
    <w:rsid w:val="00865DC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66846">
      <w:bodyDiv w:val="1"/>
      <w:marLeft w:val="0"/>
      <w:marRight w:val="0"/>
      <w:marTop w:val="0"/>
      <w:marBottom w:val="0"/>
      <w:divBdr>
        <w:top w:val="none" w:sz="0" w:space="0" w:color="auto"/>
        <w:left w:val="none" w:sz="0" w:space="0" w:color="auto"/>
        <w:bottom w:val="none" w:sz="0" w:space="0" w:color="auto"/>
        <w:right w:val="none" w:sz="0" w:space="0" w:color="auto"/>
      </w:divBdr>
    </w:div>
    <w:div w:id="119145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Ralonso</dc:creator>
  <cp:keywords/>
  <dc:description/>
  <cp:lastModifiedBy>Ralonso</cp:lastModifiedBy>
  <cp:revision>2</cp:revision>
  <dcterms:created xsi:type="dcterms:W3CDTF">2016-12-05T20:42:00Z</dcterms:created>
  <dcterms:modified xsi:type="dcterms:W3CDTF">2016-12-06T14:57:00Z</dcterms:modified>
</cp:coreProperties>
</file>